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63FA" w14:textId="77777777" w:rsidR="0009101F" w:rsidRDefault="0009101F">
      <w:pPr>
        <w:jc w:val="both"/>
        <w:rPr>
          <w:sz w:val="28"/>
          <w:szCs w:val="28"/>
          <w:rtl/>
        </w:rPr>
      </w:pPr>
    </w:p>
    <w:p w14:paraId="541DA798" w14:textId="77777777" w:rsidR="0009101F" w:rsidRDefault="0009101F">
      <w:pPr>
        <w:jc w:val="both"/>
        <w:rPr>
          <w:sz w:val="28"/>
          <w:szCs w:val="28"/>
          <w:rtl/>
        </w:rPr>
      </w:pPr>
    </w:p>
    <w:p w14:paraId="4C8D49AF" w14:textId="77777777" w:rsidR="0009101F" w:rsidRDefault="0009101F">
      <w:pPr>
        <w:jc w:val="both"/>
        <w:rPr>
          <w:sz w:val="28"/>
          <w:szCs w:val="28"/>
        </w:rPr>
      </w:pPr>
    </w:p>
    <w:p w14:paraId="58922857" w14:textId="77777777" w:rsidR="0009101F" w:rsidRDefault="00000000">
      <w:pPr>
        <w:jc w:val="both"/>
        <w:rPr>
          <w:b/>
          <w:color w:val="000000"/>
          <w:sz w:val="40"/>
          <w:szCs w:val="40"/>
          <w:rtl/>
        </w:rPr>
      </w:pPr>
      <w:r>
        <w:rPr>
          <w:b/>
          <w:color w:val="000000"/>
          <w:sz w:val="40"/>
          <w:szCs w:val="40"/>
          <w:highlight w:val="yellow"/>
          <w:rtl/>
        </w:rPr>
        <w:t xml:space="preserve">الية صرف مدفوعات المنافع الاجتماعية وجداول الصرف مفصلة حسب المشروع </w:t>
      </w:r>
      <w:proofErr w:type="spellStart"/>
      <w:r>
        <w:rPr>
          <w:b/>
          <w:color w:val="000000"/>
          <w:sz w:val="40"/>
          <w:szCs w:val="40"/>
          <w:highlight w:val="yellow"/>
          <w:rtl/>
        </w:rPr>
        <w:t>ومبالغها</w:t>
      </w:r>
      <w:proofErr w:type="spellEnd"/>
      <w:r>
        <w:rPr>
          <w:b/>
          <w:color w:val="000000"/>
          <w:sz w:val="40"/>
          <w:szCs w:val="40"/>
          <w:highlight w:val="yellow"/>
          <w:rtl/>
        </w:rPr>
        <w:t xml:space="preserve"> المدفوعة فعلاً.</w:t>
      </w:r>
    </w:p>
    <w:p w14:paraId="32B3501B" w14:textId="77777777" w:rsidR="0009101F" w:rsidRDefault="0009101F">
      <w:pPr>
        <w:jc w:val="both"/>
        <w:rPr>
          <w:color w:val="000000"/>
          <w:sz w:val="40"/>
          <w:szCs w:val="40"/>
        </w:rPr>
      </w:pPr>
    </w:p>
    <w:p w14:paraId="7A22661F" w14:textId="77777777" w:rsidR="0009101F" w:rsidRDefault="0009101F">
      <w:pPr>
        <w:jc w:val="both"/>
        <w:rPr>
          <w:color w:val="FF0000"/>
          <w:sz w:val="28"/>
          <w:szCs w:val="28"/>
          <w:rtl/>
        </w:rPr>
      </w:pPr>
    </w:p>
    <w:p w14:paraId="14B4AF45" w14:textId="77777777" w:rsidR="0009101F" w:rsidRDefault="00000000">
      <w:pPr>
        <w:jc w:val="both"/>
        <w:rPr>
          <w:color w:val="FF0000"/>
          <w:sz w:val="28"/>
          <w:szCs w:val="28"/>
        </w:rPr>
      </w:pPr>
      <w:r>
        <w:rPr>
          <w:rFonts w:hint="cs"/>
          <w:color w:val="FF0000"/>
          <w:sz w:val="28"/>
          <w:szCs w:val="28"/>
          <w:u w:val="single"/>
          <w:rtl/>
        </w:rPr>
        <w:t>المصدر: دائرة العقود والتراخيص</w:t>
      </w:r>
      <w:r>
        <w:rPr>
          <w:rFonts w:hint="cs"/>
          <w:color w:val="FF0000"/>
          <w:sz w:val="28"/>
          <w:szCs w:val="28"/>
          <w:rtl/>
        </w:rPr>
        <w:t xml:space="preserve"> </w:t>
      </w:r>
    </w:p>
    <w:p w14:paraId="72B4B537" w14:textId="77777777" w:rsidR="0009101F" w:rsidRDefault="0009101F">
      <w:pPr>
        <w:jc w:val="center"/>
        <w:rPr>
          <w:b/>
          <w:color w:val="000000"/>
          <w:u w:val="single"/>
          <w:rtl/>
        </w:rPr>
      </w:pPr>
    </w:p>
    <w:p w14:paraId="18C1F21F" w14:textId="77777777" w:rsidR="0009101F" w:rsidRDefault="0009101F">
      <w:pPr>
        <w:jc w:val="center"/>
        <w:rPr>
          <w:b/>
          <w:color w:val="000000"/>
          <w:u w:val="single"/>
        </w:rPr>
      </w:pPr>
    </w:p>
    <w:tbl>
      <w:tblPr>
        <w:bidiVisual/>
        <w:tblW w:w="995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9490"/>
      </w:tblGrid>
      <w:tr w:rsidR="0009101F" w14:paraId="1E92A722" w14:textId="77777777">
        <w:trPr>
          <w:trHeight w:val="522"/>
        </w:trPr>
        <w:tc>
          <w:tcPr>
            <w:tcW w:w="469" w:type="dxa"/>
            <w:shd w:val="clear" w:color="auto" w:fill="D0CECE" w:themeFill="background2" w:themeFillShade="E6"/>
            <w:vAlign w:val="center"/>
          </w:tcPr>
          <w:p w14:paraId="1999064E" w14:textId="77777777" w:rsidR="0009101F" w:rsidRDefault="00000000">
            <w:pPr>
              <w:jc w:val="both"/>
              <w:rPr>
                <w:b/>
                <w:color w:val="000000"/>
              </w:rPr>
            </w:pPr>
            <w:r>
              <w:rPr>
                <w:b/>
                <w:color w:val="000000"/>
              </w:rPr>
              <w:t>#</w:t>
            </w:r>
          </w:p>
        </w:tc>
        <w:tc>
          <w:tcPr>
            <w:tcW w:w="9490" w:type="dxa"/>
            <w:shd w:val="clear" w:color="auto" w:fill="00B0F0"/>
            <w:vAlign w:val="center"/>
          </w:tcPr>
          <w:p w14:paraId="1E93939D" w14:textId="77777777" w:rsidR="0009101F" w:rsidRDefault="00000000">
            <w:pPr>
              <w:jc w:val="center"/>
              <w:rPr>
                <w:color w:val="000000"/>
                <w:sz w:val="40"/>
                <w:szCs w:val="40"/>
              </w:rPr>
            </w:pPr>
            <w:r>
              <w:rPr>
                <w:color w:val="000000"/>
                <w:sz w:val="40"/>
                <w:szCs w:val="40"/>
                <w:rtl/>
              </w:rPr>
              <w:t>الآلية المحدثة</w:t>
            </w:r>
          </w:p>
        </w:tc>
      </w:tr>
      <w:tr w:rsidR="0009101F" w14:paraId="378D3A5E" w14:textId="77777777" w:rsidTr="00714F38">
        <w:tc>
          <w:tcPr>
            <w:tcW w:w="469" w:type="dxa"/>
            <w:shd w:val="clear" w:color="auto" w:fill="D0CECE" w:themeFill="background2" w:themeFillShade="E6"/>
            <w:vAlign w:val="center"/>
          </w:tcPr>
          <w:p w14:paraId="7B22868F" w14:textId="77777777" w:rsidR="0009101F" w:rsidRDefault="00000000">
            <w:pPr>
              <w:jc w:val="both"/>
              <w:rPr>
                <w:color w:val="000000"/>
              </w:rPr>
            </w:pPr>
            <w:r>
              <w:rPr>
                <w:color w:val="000000"/>
              </w:rPr>
              <w:t>1</w:t>
            </w:r>
          </w:p>
        </w:tc>
        <w:tc>
          <w:tcPr>
            <w:tcW w:w="9490" w:type="dxa"/>
            <w:shd w:val="clear" w:color="auto" w:fill="auto"/>
          </w:tcPr>
          <w:p w14:paraId="76911987" w14:textId="77777777" w:rsidR="0009101F" w:rsidRDefault="00000000">
            <w:pPr>
              <w:ind w:right="30"/>
              <w:jc w:val="both"/>
              <w:rPr>
                <w:b/>
                <w:color w:val="000000"/>
                <w:sz w:val="28"/>
                <w:szCs w:val="28"/>
              </w:rPr>
            </w:pPr>
            <w:r>
              <w:rPr>
                <w:b/>
                <w:color w:val="000000"/>
                <w:sz w:val="28"/>
                <w:szCs w:val="28"/>
                <w:rtl/>
              </w:rPr>
              <w:t>استنادا لقرار مجلس الوزراء رقم 23169 في 2023 المعطوف على توصية المجلس الوزاري للطاقة المرقم (23010) ط لسنة 2023 تم زيادة المبلغ المخصص للمنافع لتصبح (</w:t>
            </w:r>
            <w:r>
              <w:rPr>
                <w:rFonts w:hint="cs"/>
                <w:b/>
                <w:color w:val="000000"/>
                <w:sz w:val="28"/>
                <w:szCs w:val="28"/>
                <w:rtl/>
              </w:rPr>
              <w:t>10)</w:t>
            </w:r>
            <w:r>
              <w:rPr>
                <w:b/>
                <w:color w:val="000000"/>
                <w:sz w:val="28"/>
                <w:szCs w:val="28"/>
                <w:rtl/>
              </w:rPr>
              <w:t xml:space="preserve"> مليون دولار وقد اعداد الية وزارية </w:t>
            </w:r>
            <w:r>
              <w:rPr>
                <w:rFonts w:hint="cs"/>
                <w:b/>
                <w:color w:val="000000"/>
                <w:sz w:val="28"/>
                <w:szCs w:val="28"/>
                <w:rtl/>
              </w:rPr>
              <w:t>وتعميمها في</w:t>
            </w:r>
            <w:r>
              <w:rPr>
                <w:b/>
                <w:color w:val="000000"/>
                <w:sz w:val="28"/>
                <w:szCs w:val="28"/>
                <w:rtl/>
              </w:rPr>
              <w:t xml:space="preserve"> 15/2/2024</w:t>
            </w:r>
          </w:p>
        </w:tc>
      </w:tr>
      <w:tr w:rsidR="0009101F" w14:paraId="33492434" w14:textId="77777777" w:rsidTr="00714F38">
        <w:tc>
          <w:tcPr>
            <w:tcW w:w="469" w:type="dxa"/>
            <w:shd w:val="clear" w:color="auto" w:fill="D0CECE" w:themeFill="background2" w:themeFillShade="E6"/>
            <w:vAlign w:val="center"/>
          </w:tcPr>
          <w:p w14:paraId="4004F866" w14:textId="77777777" w:rsidR="0009101F" w:rsidRDefault="00000000">
            <w:pPr>
              <w:jc w:val="both"/>
              <w:rPr>
                <w:color w:val="000000"/>
              </w:rPr>
            </w:pPr>
            <w:r>
              <w:rPr>
                <w:color w:val="000000"/>
              </w:rPr>
              <w:t>2</w:t>
            </w:r>
          </w:p>
        </w:tc>
        <w:tc>
          <w:tcPr>
            <w:tcW w:w="9490" w:type="dxa"/>
            <w:shd w:val="clear" w:color="auto" w:fill="auto"/>
          </w:tcPr>
          <w:p w14:paraId="19BA2923" w14:textId="77777777" w:rsidR="0009101F" w:rsidRDefault="00000000">
            <w:pPr>
              <w:ind w:right="51"/>
              <w:jc w:val="both"/>
              <w:rPr>
                <w:b/>
                <w:color w:val="000000"/>
                <w:sz w:val="28"/>
                <w:szCs w:val="28"/>
              </w:rPr>
            </w:pPr>
            <w:proofErr w:type="spellStart"/>
            <w:r>
              <w:rPr>
                <w:b/>
                <w:color w:val="000000"/>
                <w:sz w:val="28"/>
                <w:szCs w:val="28"/>
                <w:rtl/>
              </w:rPr>
              <w:t>أعطاء</w:t>
            </w:r>
            <w:proofErr w:type="spellEnd"/>
            <w:r>
              <w:rPr>
                <w:b/>
                <w:color w:val="000000"/>
                <w:sz w:val="28"/>
                <w:szCs w:val="28"/>
                <w:rtl/>
              </w:rPr>
              <w:t xml:space="preserve"> صلاحية /</w:t>
            </w:r>
          </w:p>
          <w:p w14:paraId="15C8F384" w14:textId="77777777" w:rsidR="0009101F" w:rsidRDefault="00000000">
            <w:pPr>
              <w:ind w:right="51"/>
              <w:jc w:val="both"/>
              <w:rPr>
                <w:b/>
                <w:color w:val="000000"/>
                <w:sz w:val="28"/>
                <w:szCs w:val="28"/>
              </w:rPr>
            </w:pPr>
            <w:r>
              <w:rPr>
                <w:b/>
                <w:color w:val="000000"/>
                <w:sz w:val="28"/>
                <w:szCs w:val="28"/>
                <w:rtl/>
              </w:rPr>
              <w:t xml:space="preserve">تمت الاشارة الى أن للمجلس الوزاري للطاقة الصلاحية الكاملة في اختيار المشاريع الضرورية ضمن المحافظة وتكليف الجهة المعنية بالتنفيذ التي يراها المجلس مناسبة </w:t>
            </w:r>
            <w:r>
              <w:rPr>
                <w:rFonts w:hint="cs"/>
                <w:b/>
                <w:color w:val="000000"/>
                <w:sz w:val="28"/>
                <w:szCs w:val="28"/>
                <w:rtl/>
              </w:rPr>
              <w:t>لأنشاء</w:t>
            </w:r>
            <w:r>
              <w:rPr>
                <w:b/>
                <w:color w:val="000000"/>
                <w:sz w:val="28"/>
                <w:szCs w:val="28"/>
                <w:rtl/>
              </w:rPr>
              <w:t xml:space="preserve"> المشاريع الاستراتيجية ولتحسين واقع خدمي معين ان تطلبت الحالة وللسنة التقويمية المحددة وباقتراح من الشركة </w:t>
            </w:r>
            <w:r>
              <w:rPr>
                <w:rFonts w:hint="cs"/>
                <w:b/>
                <w:color w:val="000000"/>
                <w:sz w:val="28"/>
                <w:szCs w:val="28"/>
                <w:rtl/>
              </w:rPr>
              <w:t>الاستخراجية.</w:t>
            </w:r>
          </w:p>
          <w:p w14:paraId="5932D396" w14:textId="77777777" w:rsidR="0009101F" w:rsidRDefault="00000000">
            <w:pPr>
              <w:ind w:right="30"/>
              <w:jc w:val="both"/>
              <w:rPr>
                <w:b/>
                <w:color w:val="000000"/>
                <w:sz w:val="28"/>
                <w:szCs w:val="28"/>
              </w:rPr>
            </w:pPr>
            <w:r>
              <w:rPr>
                <w:b/>
                <w:color w:val="000000"/>
                <w:sz w:val="28"/>
                <w:szCs w:val="28"/>
                <w:rtl/>
              </w:rPr>
              <w:t xml:space="preserve"> </w:t>
            </w:r>
            <w:r>
              <w:rPr>
                <w:rFonts w:hint="cs"/>
                <w:b/>
                <w:color w:val="000000"/>
                <w:sz w:val="28"/>
                <w:szCs w:val="28"/>
                <w:rtl/>
              </w:rPr>
              <w:t>(مما</w:t>
            </w:r>
            <w:r>
              <w:rPr>
                <w:b/>
                <w:color w:val="000000"/>
                <w:sz w:val="28"/>
                <w:szCs w:val="28"/>
                <w:rtl/>
              </w:rPr>
              <w:t xml:space="preserve"> يتطلب مصادقة جهة عليا على القرار)</w:t>
            </w:r>
          </w:p>
          <w:p w14:paraId="0DEC0A05" w14:textId="77777777" w:rsidR="0009101F" w:rsidRDefault="00000000">
            <w:pPr>
              <w:ind w:right="30"/>
              <w:jc w:val="both"/>
              <w:rPr>
                <w:b/>
                <w:color w:val="000000"/>
                <w:sz w:val="28"/>
                <w:szCs w:val="28"/>
              </w:rPr>
            </w:pPr>
            <w:r>
              <w:rPr>
                <w:b/>
                <w:color w:val="000000"/>
                <w:sz w:val="28"/>
                <w:szCs w:val="28"/>
                <w:rtl/>
              </w:rPr>
              <w:t>المبررات لتنفيذ مشاريع متلكئة او تنفيذ مشاريع استراتيجية</w:t>
            </w:r>
          </w:p>
        </w:tc>
      </w:tr>
      <w:tr w:rsidR="0009101F" w14:paraId="6477485B" w14:textId="77777777" w:rsidTr="00714F38">
        <w:tc>
          <w:tcPr>
            <w:tcW w:w="469" w:type="dxa"/>
            <w:shd w:val="clear" w:color="auto" w:fill="D0CECE" w:themeFill="background2" w:themeFillShade="E6"/>
            <w:vAlign w:val="center"/>
          </w:tcPr>
          <w:p w14:paraId="17FEB62F" w14:textId="77777777" w:rsidR="0009101F" w:rsidRDefault="00000000">
            <w:pPr>
              <w:jc w:val="both"/>
              <w:rPr>
                <w:color w:val="000000"/>
              </w:rPr>
            </w:pPr>
            <w:r>
              <w:rPr>
                <w:color w:val="000000"/>
              </w:rPr>
              <w:t>3</w:t>
            </w:r>
          </w:p>
        </w:tc>
        <w:tc>
          <w:tcPr>
            <w:tcW w:w="9490" w:type="dxa"/>
            <w:shd w:val="clear" w:color="auto" w:fill="auto"/>
          </w:tcPr>
          <w:p w14:paraId="219FF401" w14:textId="77777777" w:rsidR="0009101F" w:rsidRDefault="00000000">
            <w:pPr>
              <w:ind w:right="30"/>
              <w:jc w:val="both"/>
              <w:rPr>
                <w:b/>
                <w:color w:val="000000"/>
                <w:sz w:val="28"/>
                <w:szCs w:val="28"/>
              </w:rPr>
            </w:pPr>
            <w:r>
              <w:rPr>
                <w:b/>
                <w:color w:val="000000"/>
                <w:sz w:val="28"/>
                <w:szCs w:val="28"/>
                <w:rtl/>
              </w:rPr>
              <w:t>بموجب الالية وقرار مجلس الوزراء 23169 لسنة2023</w:t>
            </w:r>
          </w:p>
          <w:p w14:paraId="1060966B" w14:textId="77777777" w:rsidR="0009101F" w:rsidRDefault="00000000">
            <w:pPr>
              <w:ind w:right="30"/>
              <w:jc w:val="both"/>
              <w:rPr>
                <w:b/>
                <w:color w:val="000000"/>
                <w:sz w:val="28"/>
                <w:szCs w:val="28"/>
              </w:rPr>
            </w:pPr>
            <w:r>
              <w:rPr>
                <w:b/>
                <w:color w:val="000000"/>
                <w:sz w:val="28"/>
                <w:szCs w:val="28"/>
                <w:rtl/>
              </w:rPr>
              <w:t>يتم اعداد الخطة من قبل المحافظة بالتنسيق مع الوزارات المعنية الخاصة برسم السياسات العمرانية على ان تقر هذه الخطة من الهيئة العليا للتنسيق بين المحافظات</w:t>
            </w:r>
          </w:p>
        </w:tc>
      </w:tr>
      <w:tr w:rsidR="0009101F" w14:paraId="1E307D42" w14:textId="77777777" w:rsidTr="00714F38">
        <w:tc>
          <w:tcPr>
            <w:tcW w:w="469" w:type="dxa"/>
            <w:shd w:val="clear" w:color="auto" w:fill="D0CECE" w:themeFill="background2" w:themeFillShade="E6"/>
            <w:vAlign w:val="center"/>
          </w:tcPr>
          <w:p w14:paraId="4F1FC1D2" w14:textId="77777777" w:rsidR="0009101F" w:rsidRDefault="00000000">
            <w:pPr>
              <w:jc w:val="both"/>
              <w:rPr>
                <w:color w:val="000000"/>
              </w:rPr>
            </w:pPr>
            <w:r>
              <w:rPr>
                <w:color w:val="000000"/>
              </w:rPr>
              <w:t>4</w:t>
            </w:r>
          </w:p>
        </w:tc>
        <w:tc>
          <w:tcPr>
            <w:tcW w:w="9490" w:type="dxa"/>
            <w:shd w:val="clear" w:color="auto" w:fill="auto"/>
          </w:tcPr>
          <w:p w14:paraId="105B6B4F" w14:textId="77777777" w:rsidR="0009101F" w:rsidRDefault="00000000">
            <w:pPr>
              <w:spacing w:after="160" w:line="259" w:lineRule="auto"/>
              <w:ind w:left="19"/>
              <w:jc w:val="both"/>
              <w:rPr>
                <w:color w:val="000000"/>
                <w:sz w:val="28"/>
                <w:szCs w:val="28"/>
              </w:rPr>
            </w:pPr>
            <w:r>
              <w:rPr>
                <w:rFonts w:ascii="Calibri" w:eastAsia="Calibri" w:hAnsi="Calibri" w:cs="Calibri"/>
                <w:color w:val="000000"/>
                <w:sz w:val="28"/>
                <w:szCs w:val="28"/>
                <w:rtl/>
              </w:rPr>
              <w:t xml:space="preserve">توزع مبالغ التخصيصات على الحقول والرقع الاستكشافية المشتركة بين المحافظات </w:t>
            </w:r>
            <w:r>
              <w:rPr>
                <w:rFonts w:ascii="Calibri" w:eastAsia="Calibri" w:hAnsi="Calibri" w:cs="Calibri"/>
                <w:color w:val="000000"/>
                <w:sz w:val="28"/>
                <w:szCs w:val="28"/>
                <w:u w:val="single"/>
                <w:rtl/>
              </w:rPr>
              <w:t xml:space="preserve">وفق نسب محددة حسب حجم العمليات البترولية في المحافظة في </w:t>
            </w:r>
            <w:r>
              <w:rPr>
                <w:rFonts w:ascii="Calibri" w:eastAsia="Calibri" w:hAnsi="Calibri" w:cs="Calibri"/>
                <w:b/>
                <w:color w:val="000000"/>
                <w:sz w:val="28"/>
                <w:szCs w:val="28"/>
                <w:u w:val="single"/>
                <w:rtl/>
              </w:rPr>
              <w:t>مرحلة التطوير</w:t>
            </w:r>
            <w:r>
              <w:rPr>
                <w:rFonts w:ascii="Calibri" w:eastAsia="Calibri" w:hAnsi="Calibri" w:cs="Calibri"/>
                <w:color w:val="000000"/>
                <w:sz w:val="28"/>
                <w:szCs w:val="28"/>
                <w:rtl/>
              </w:rPr>
              <w:t xml:space="preserve"> والتي يتم تحديدها من قبل مشغل الحقل بموافقة لجنة الإدارة المشتركة بعد الاخذ بنظر الاعتبار التأثيرات الناتجة عن العمليات البترولية، اما في </w:t>
            </w:r>
            <w:r>
              <w:rPr>
                <w:rFonts w:ascii="Calibri" w:eastAsia="Calibri" w:hAnsi="Calibri" w:cs="Calibri"/>
                <w:b/>
                <w:color w:val="000000"/>
                <w:sz w:val="28"/>
                <w:szCs w:val="28"/>
                <w:rtl/>
              </w:rPr>
              <w:t>مرحلة الاستكشاف</w:t>
            </w:r>
            <w:r>
              <w:rPr>
                <w:rFonts w:ascii="Calibri" w:eastAsia="Calibri" w:hAnsi="Calibri" w:cs="Calibri"/>
                <w:color w:val="000000"/>
                <w:sz w:val="28"/>
                <w:szCs w:val="28"/>
                <w:rtl/>
              </w:rPr>
              <w:t xml:space="preserve"> فأن توزيع مبالغ البنى التحتية يتم وفق مقدار المساحة الجغرافية للرقعة الاستكشافية في كل محافظة وحسب حدود الرقعة المثبتة تعاقدياً</w:t>
            </w:r>
          </w:p>
        </w:tc>
      </w:tr>
      <w:tr w:rsidR="0009101F" w14:paraId="24ACBE54" w14:textId="77777777" w:rsidTr="00714F38">
        <w:tc>
          <w:tcPr>
            <w:tcW w:w="469" w:type="dxa"/>
            <w:shd w:val="clear" w:color="auto" w:fill="D0CECE" w:themeFill="background2" w:themeFillShade="E6"/>
            <w:vAlign w:val="center"/>
          </w:tcPr>
          <w:p w14:paraId="4542125C" w14:textId="77777777" w:rsidR="0009101F" w:rsidRDefault="00000000">
            <w:pPr>
              <w:jc w:val="both"/>
              <w:rPr>
                <w:color w:val="000000"/>
              </w:rPr>
            </w:pPr>
            <w:r>
              <w:rPr>
                <w:color w:val="000000"/>
              </w:rPr>
              <w:t>5</w:t>
            </w:r>
          </w:p>
        </w:tc>
        <w:tc>
          <w:tcPr>
            <w:tcW w:w="9490" w:type="dxa"/>
            <w:shd w:val="clear" w:color="auto" w:fill="auto"/>
          </w:tcPr>
          <w:p w14:paraId="12C734E8" w14:textId="77777777" w:rsidR="0009101F" w:rsidRDefault="00000000">
            <w:pPr>
              <w:jc w:val="both"/>
              <w:rPr>
                <w:b/>
                <w:color w:val="000000"/>
                <w:sz w:val="28"/>
                <w:szCs w:val="28"/>
              </w:rPr>
            </w:pPr>
            <w:r>
              <w:rPr>
                <w:b/>
                <w:color w:val="000000"/>
                <w:sz w:val="28"/>
                <w:szCs w:val="28"/>
                <w:rtl/>
              </w:rPr>
              <w:t>وبضوء التخصيصات المصادق عليها إعداد خطة خمسية او لـ (3) سنوات بالمشاريع الخدمية المقترحة للمناطق القريبة من الحقول النفطية والغازية والرقع الاستكشافية او ضمن الحدود الادارية للمحافظة بعد التنسيق مع الوزارات المعنية الخاصة برسم السياسات العمرانية على ان تقر هذه الخطة من الهيئة العليا للتنسيق بين المحافظات وان تقدم الخطة المحدثة في بداية شهر حزيران من كل عام. مع ضرورة توفير كافة متطلبات تنفيذ المشروع من (الموافقات الاصولية وخلو المنطقة من النزاعات الاجتماعية والبلدية وغيرها).</w:t>
            </w:r>
          </w:p>
          <w:p w14:paraId="7F4567D1" w14:textId="77777777" w:rsidR="0009101F" w:rsidRDefault="0009101F">
            <w:pPr>
              <w:spacing w:after="160" w:line="259" w:lineRule="auto"/>
              <w:ind w:left="426"/>
              <w:jc w:val="both"/>
              <w:rPr>
                <w:bCs/>
                <w:color w:val="000000"/>
                <w:sz w:val="28"/>
                <w:szCs w:val="28"/>
              </w:rPr>
            </w:pPr>
          </w:p>
        </w:tc>
      </w:tr>
      <w:tr w:rsidR="0009101F" w14:paraId="223395D9" w14:textId="77777777" w:rsidTr="00714F38">
        <w:tc>
          <w:tcPr>
            <w:tcW w:w="469" w:type="dxa"/>
            <w:shd w:val="clear" w:color="auto" w:fill="D0CECE" w:themeFill="background2" w:themeFillShade="E6"/>
            <w:vAlign w:val="center"/>
          </w:tcPr>
          <w:p w14:paraId="120E6AAB" w14:textId="77777777" w:rsidR="0009101F" w:rsidRDefault="00000000">
            <w:pPr>
              <w:jc w:val="both"/>
              <w:rPr>
                <w:color w:val="000000"/>
              </w:rPr>
            </w:pPr>
            <w:r>
              <w:rPr>
                <w:color w:val="000000"/>
              </w:rPr>
              <w:lastRenderedPageBreak/>
              <w:t>6</w:t>
            </w:r>
          </w:p>
        </w:tc>
        <w:tc>
          <w:tcPr>
            <w:tcW w:w="9490" w:type="dxa"/>
            <w:shd w:val="clear" w:color="auto" w:fill="auto"/>
          </w:tcPr>
          <w:p w14:paraId="4E1EE6E8" w14:textId="77777777" w:rsidR="0009101F" w:rsidRDefault="00000000">
            <w:pPr>
              <w:spacing w:after="160" w:line="259" w:lineRule="auto"/>
              <w:ind w:left="19" w:firstLine="18"/>
              <w:jc w:val="both"/>
              <w:rPr>
                <w:color w:val="000000"/>
                <w:sz w:val="28"/>
                <w:szCs w:val="28"/>
              </w:rPr>
            </w:pPr>
            <w:r>
              <w:rPr>
                <w:rFonts w:ascii="Calibri" w:eastAsia="Calibri" w:hAnsi="Calibri" w:cs="Calibri"/>
                <w:color w:val="000000"/>
                <w:sz w:val="28"/>
                <w:szCs w:val="28"/>
                <w:rtl/>
              </w:rPr>
              <w:t xml:space="preserve">تم تقسيم التخصيصات بعد الاطلاع على طلب اللجان النيابية </w:t>
            </w:r>
            <w:r>
              <w:rPr>
                <w:rFonts w:ascii="Calibri" w:eastAsia="Calibri" w:hAnsi="Calibri" w:cs="Calibri" w:hint="cs"/>
                <w:color w:val="000000"/>
                <w:sz w:val="28"/>
                <w:szCs w:val="28"/>
                <w:rtl/>
              </w:rPr>
              <w:t>لأعمال</w:t>
            </w:r>
            <w:r>
              <w:rPr>
                <w:rFonts w:ascii="Calibri" w:eastAsia="Calibri" w:hAnsi="Calibri" w:cs="Calibri"/>
                <w:color w:val="000000"/>
                <w:sz w:val="28"/>
                <w:szCs w:val="28"/>
                <w:rtl/>
              </w:rPr>
              <w:t xml:space="preserve"> التشجير</w:t>
            </w:r>
            <w:r>
              <w:rPr>
                <w:rFonts w:ascii="Calibri" w:eastAsia="Calibri" w:hAnsi="Calibri" w:cs="Calibri" w:hint="cs"/>
                <w:color w:val="000000"/>
                <w:sz w:val="28"/>
                <w:szCs w:val="28"/>
                <w:rtl/>
              </w:rPr>
              <w:t xml:space="preserve"> </w:t>
            </w:r>
            <w:r>
              <w:rPr>
                <w:rFonts w:ascii="Calibri" w:eastAsia="Calibri" w:hAnsi="Calibri" w:cs="Calibri"/>
                <w:color w:val="000000"/>
                <w:sz w:val="28"/>
                <w:szCs w:val="28"/>
                <w:rtl/>
              </w:rPr>
              <w:t xml:space="preserve">البيئي وتجهيز ودعم </w:t>
            </w:r>
            <w:proofErr w:type="spellStart"/>
            <w:r>
              <w:rPr>
                <w:rFonts w:ascii="Calibri" w:eastAsia="Calibri" w:hAnsi="Calibri" w:cs="Calibri" w:hint="cs"/>
                <w:color w:val="000000"/>
                <w:sz w:val="28"/>
                <w:szCs w:val="28"/>
                <w:rtl/>
              </w:rPr>
              <w:t>المرأه</w:t>
            </w:r>
            <w:proofErr w:type="spellEnd"/>
            <w:r>
              <w:rPr>
                <w:rFonts w:ascii="Calibri" w:eastAsia="Calibri" w:hAnsi="Calibri" w:cs="Calibri"/>
                <w:color w:val="000000"/>
                <w:sz w:val="28"/>
                <w:szCs w:val="28"/>
                <w:rtl/>
              </w:rPr>
              <w:t xml:space="preserve"> وكما يلي </w:t>
            </w:r>
          </w:p>
          <w:p w14:paraId="128D2262" w14:textId="77777777" w:rsidR="0009101F" w:rsidRDefault="00000000">
            <w:pPr>
              <w:jc w:val="both"/>
              <w:rPr>
                <w:color w:val="000000"/>
                <w:sz w:val="28"/>
                <w:szCs w:val="28"/>
              </w:rPr>
            </w:pPr>
            <w:r>
              <w:rPr>
                <w:color w:val="000000"/>
                <w:sz w:val="28"/>
                <w:szCs w:val="28"/>
                <w:rtl/>
              </w:rPr>
              <w:t xml:space="preserve">- تخصيص نسبة (90%) من مبالغ المنافع الاجتماعية </w:t>
            </w:r>
            <w:r>
              <w:rPr>
                <w:b/>
                <w:color w:val="000000"/>
                <w:sz w:val="28"/>
                <w:szCs w:val="28"/>
                <w:rtl/>
              </w:rPr>
              <w:t>للمشاريع التنموية والاستراتيجية</w:t>
            </w:r>
            <w:r>
              <w:rPr>
                <w:color w:val="000000"/>
                <w:sz w:val="28"/>
                <w:szCs w:val="28"/>
                <w:rtl/>
              </w:rPr>
              <w:t xml:space="preserve"> وتحديد أولوية قنوات الصرف لمشاريع الصحة والسلامة والتعليم ومحطات تصفية وتحلية المياه وإنشاء الطرق وتدوير النفايات (</w:t>
            </w:r>
            <w:r>
              <w:rPr>
                <w:color w:val="000000"/>
                <w:sz w:val="28"/>
                <w:szCs w:val="28"/>
              </w:rPr>
              <w:t>Recycling</w:t>
            </w:r>
            <w:r>
              <w:rPr>
                <w:color w:val="000000"/>
                <w:sz w:val="28"/>
                <w:szCs w:val="28"/>
                <w:rtl/>
              </w:rPr>
              <w:t>)، وإنشاء دور لرعاية الأيتام وكبار السن والمشاريع ذات الاثر التنموي.</w:t>
            </w:r>
          </w:p>
          <w:p w14:paraId="4B6CC3BF" w14:textId="77777777" w:rsidR="0009101F" w:rsidRDefault="00000000">
            <w:pPr>
              <w:jc w:val="both"/>
              <w:rPr>
                <w:color w:val="000000"/>
                <w:sz w:val="28"/>
                <w:szCs w:val="28"/>
              </w:rPr>
            </w:pPr>
            <w:r>
              <w:rPr>
                <w:color w:val="000000"/>
                <w:sz w:val="28"/>
                <w:szCs w:val="28"/>
                <w:rtl/>
              </w:rPr>
              <w:t xml:space="preserve">- تخصيص نسبة (10%) لتنفيذ </w:t>
            </w:r>
            <w:r>
              <w:rPr>
                <w:b/>
                <w:color w:val="000000"/>
                <w:sz w:val="28"/>
                <w:szCs w:val="28"/>
                <w:rtl/>
              </w:rPr>
              <w:t xml:space="preserve">مشاريع التجهيز </w:t>
            </w:r>
            <w:r>
              <w:rPr>
                <w:color w:val="000000"/>
                <w:sz w:val="28"/>
                <w:szCs w:val="28"/>
                <w:rtl/>
              </w:rPr>
              <w:t xml:space="preserve">الخاصة بوزارتي التربية والصحة ومشاريع دعم </w:t>
            </w:r>
            <w:proofErr w:type="spellStart"/>
            <w:r>
              <w:rPr>
                <w:rFonts w:hint="cs"/>
                <w:color w:val="000000"/>
                <w:sz w:val="28"/>
                <w:szCs w:val="28"/>
                <w:rtl/>
              </w:rPr>
              <w:t>المرأه</w:t>
            </w:r>
            <w:proofErr w:type="spellEnd"/>
            <w:r>
              <w:rPr>
                <w:color w:val="000000"/>
                <w:sz w:val="28"/>
                <w:szCs w:val="28"/>
                <w:rtl/>
              </w:rPr>
              <w:t xml:space="preserve"> ومشاريع التشجير البيئي وتأهيل مواقع الغطاء النباتي وتنميته داخل المدن او محيطها لزيادة الرقعة الخضراء ومكافحة التصحر، وتقدم ضمن الخطة التي يتم اقرارها من الهيئة العليا للتنسيق بين المحافظات.</w:t>
            </w:r>
          </w:p>
          <w:p w14:paraId="269E4E6E" w14:textId="77777777" w:rsidR="0009101F" w:rsidRDefault="0009101F">
            <w:pPr>
              <w:jc w:val="both"/>
              <w:rPr>
                <w:color w:val="000000"/>
                <w:sz w:val="28"/>
                <w:szCs w:val="28"/>
              </w:rPr>
            </w:pPr>
          </w:p>
        </w:tc>
      </w:tr>
      <w:tr w:rsidR="0009101F" w14:paraId="6558E8A0" w14:textId="77777777" w:rsidTr="00714F38">
        <w:tc>
          <w:tcPr>
            <w:tcW w:w="469" w:type="dxa"/>
            <w:shd w:val="clear" w:color="auto" w:fill="D0CECE" w:themeFill="background2" w:themeFillShade="E6"/>
            <w:vAlign w:val="center"/>
          </w:tcPr>
          <w:p w14:paraId="30086F0A" w14:textId="77777777" w:rsidR="0009101F" w:rsidRDefault="00000000">
            <w:pPr>
              <w:jc w:val="both"/>
              <w:rPr>
                <w:color w:val="000000"/>
              </w:rPr>
            </w:pPr>
            <w:r>
              <w:rPr>
                <w:color w:val="000000"/>
              </w:rPr>
              <w:t>7</w:t>
            </w:r>
          </w:p>
        </w:tc>
        <w:tc>
          <w:tcPr>
            <w:tcW w:w="9490" w:type="dxa"/>
            <w:shd w:val="clear" w:color="auto" w:fill="auto"/>
          </w:tcPr>
          <w:p w14:paraId="4E9897DE"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 xml:space="preserve">الإشارة </w:t>
            </w:r>
            <w:r>
              <w:rPr>
                <w:rFonts w:ascii="Calibri" w:eastAsia="Calibri" w:hAnsi="Calibri" w:cs="Calibri" w:hint="cs"/>
                <w:color w:val="000000"/>
                <w:sz w:val="28"/>
                <w:szCs w:val="28"/>
                <w:rtl/>
              </w:rPr>
              <w:t>الى تنفيذ</w:t>
            </w:r>
            <w:r>
              <w:rPr>
                <w:rFonts w:ascii="Calibri" w:eastAsia="Calibri" w:hAnsi="Calibri" w:cs="Calibri"/>
                <w:color w:val="000000"/>
                <w:sz w:val="28"/>
                <w:szCs w:val="28"/>
                <w:rtl/>
              </w:rPr>
              <w:t xml:space="preserve"> المشاريع طبقاً لإجراءات التعاقد والشراء الموحدة (الملزمة للمقاولين).</w:t>
            </w:r>
          </w:p>
          <w:p w14:paraId="4F06F331"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 xml:space="preserve">ولتجنب </w:t>
            </w:r>
            <w:r>
              <w:rPr>
                <w:rFonts w:ascii="Calibri" w:eastAsia="Calibri" w:hAnsi="Calibri" w:cs="Calibri" w:hint="cs"/>
                <w:color w:val="000000"/>
                <w:sz w:val="28"/>
                <w:szCs w:val="28"/>
                <w:rtl/>
              </w:rPr>
              <w:t>التأخير</w:t>
            </w:r>
            <w:r>
              <w:rPr>
                <w:rFonts w:ascii="Calibri" w:eastAsia="Calibri" w:hAnsi="Calibri" w:cs="Calibri"/>
                <w:color w:val="000000"/>
                <w:sz w:val="28"/>
                <w:szCs w:val="28"/>
                <w:rtl/>
              </w:rPr>
              <w:t xml:space="preserve"> في تنفيذ المشاريع تم اقتراح</w:t>
            </w:r>
          </w:p>
          <w:p w14:paraId="58AC8CF2"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يتم تنفيذ مشاريع المنافع الاجتماعية والبنى التحتية (للحقول والرقع الاستكشافية) والاشراف المباشر عليها من قبل المشغل وفق عقود تصميم وتجهيز وتشييد (</w:t>
            </w:r>
            <w:r>
              <w:rPr>
                <w:rFonts w:ascii="Calibri" w:eastAsia="Calibri" w:hAnsi="Calibri" w:cs="Calibri"/>
                <w:color w:val="000000"/>
                <w:sz w:val="28"/>
                <w:szCs w:val="28"/>
              </w:rPr>
              <w:t>Engineering, Procurement, Construction</w:t>
            </w:r>
            <w:r>
              <w:rPr>
                <w:rFonts w:ascii="Calibri" w:eastAsia="Calibri" w:hAnsi="Calibri" w:cs="Calibri"/>
                <w:color w:val="000000"/>
                <w:sz w:val="28"/>
                <w:szCs w:val="28"/>
                <w:rtl/>
              </w:rPr>
              <w:t>)) وبعقود أدارة مشاريع ((</w:t>
            </w:r>
            <w:r>
              <w:rPr>
                <w:rFonts w:ascii="Calibri" w:eastAsia="Calibri" w:hAnsi="Calibri" w:cs="Calibri"/>
                <w:color w:val="000000"/>
                <w:sz w:val="28"/>
                <w:szCs w:val="28"/>
              </w:rPr>
              <w:t>Project Management Contracts</w:t>
            </w:r>
            <w:r>
              <w:rPr>
                <w:rFonts w:ascii="Calibri" w:eastAsia="Calibri" w:hAnsi="Calibri" w:cs="Calibri"/>
                <w:color w:val="000000"/>
                <w:sz w:val="28"/>
                <w:szCs w:val="28"/>
                <w:rtl/>
              </w:rPr>
              <w:t xml:space="preserve"> المُعِدْة من قبل المُشغل، على ان تضم كلفة المشروع كلف الاشراف والسيطرة والرقابة وبمتابعة دورية من قبل </w:t>
            </w:r>
            <w:r>
              <w:rPr>
                <w:rFonts w:ascii="Calibri" w:eastAsia="Calibri" w:hAnsi="Calibri" w:cs="Calibri"/>
                <w:b/>
                <w:color w:val="000000"/>
                <w:sz w:val="28"/>
                <w:szCs w:val="28"/>
                <w:rtl/>
              </w:rPr>
              <w:t>التشكيل الاداري الرأسي في الشركة الاستخراجية</w:t>
            </w:r>
            <w:r>
              <w:rPr>
                <w:rFonts w:ascii="Calibri" w:eastAsia="Calibri" w:hAnsi="Calibri" w:cs="Calibri"/>
                <w:color w:val="000000"/>
                <w:sz w:val="28"/>
                <w:szCs w:val="28"/>
                <w:rtl/>
              </w:rPr>
              <w:t xml:space="preserve"> او من يمثله، وتكون المتابعة مشتركة لمراحل تقدم العمل للمشاريع عن طريق هيئات التشغيل المشتركة لعقود جولة التراخيص الأولى</w:t>
            </w:r>
          </w:p>
          <w:p w14:paraId="6EA7FA33"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كما تضمنت الية التنفيذ الفقرات التالية</w:t>
            </w:r>
          </w:p>
          <w:p w14:paraId="3D367202" w14:textId="77777777" w:rsidR="0009101F" w:rsidRDefault="00000000">
            <w:pPr>
              <w:numPr>
                <w:ilvl w:val="0"/>
                <w:numId w:val="1"/>
              </w:numPr>
              <w:spacing w:line="259" w:lineRule="auto"/>
              <w:ind w:left="302" w:hanging="302"/>
              <w:jc w:val="both"/>
              <w:rPr>
                <w:color w:val="000000"/>
                <w:sz w:val="28"/>
                <w:szCs w:val="28"/>
              </w:rPr>
            </w:pPr>
            <w:r>
              <w:rPr>
                <w:rFonts w:ascii="Calibri" w:eastAsia="Calibri" w:hAnsi="Calibri" w:cs="Calibri"/>
                <w:color w:val="000000"/>
                <w:sz w:val="28"/>
                <w:szCs w:val="28"/>
                <w:rtl/>
              </w:rPr>
              <w:t xml:space="preserve">على المشغل تنفيذ المشاريع </w:t>
            </w:r>
            <w:r>
              <w:rPr>
                <w:rFonts w:ascii="Calibri" w:eastAsia="Calibri" w:hAnsi="Calibri" w:cs="Calibri"/>
                <w:b/>
                <w:color w:val="000000"/>
                <w:sz w:val="28"/>
                <w:szCs w:val="28"/>
                <w:u w:val="single"/>
                <w:rtl/>
              </w:rPr>
              <w:t>المقترحة ولا يسمح له بالاعتذار</w:t>
            </w:r>
            <w:r>
              <w:rPr>
                <w:rFonts w:ascii="Calibri" w:eastAsia="Calibri" w:hAnsi="Calibri" w:cs="Calibri"/>
                <w:color w:val="000000"/>
                <w:sz w:val="28"/>
                <w:szCs w:val="28"/>
                <w:rtl/>
              </w:rPr>
              <w:t xml:space="preserve"> وفي حالة تقديم مبررات واسباب منطقية (القوة </w:t>
            </w:r>
            <w:r>
              <w:rPr>
                <w:rFonts w:ascii="Calibri" w:eastAsia="Calibri" w:hAnsi="Calibri" w:cs="Calibri" w:hint="cs"/>
                <w:color w:val="000000"/>
                <w:sz w:val="28"/>
                <w:szCs w:val="28"/>
                <w:rtl/>
              </w:rPr>
              <w:t>القاهرة،</w:t>
            </w:r>
            <w:r>
              <w:rPr>
                <w:rFonts w:ascii="Calibri" w:eastAsia="Calibri" w:hAnsi="Calibri" w:cs="Calibri"/>
                <w:color w:val="000000"/>
                <w:sz w:val="28"/>
                <w:szCs w:val="28"/>
                <w:rtl/>
              </w:rPr>
              <w:t xml:space="preserve"> مشاكل واسباب </w:t>
            </w:r>
            <w:r>
              <w:rPr>
                <w:rFonts w:ascii="Calibri" w:eastAsia="Calibri" w:hAnsi="Calibri" w:cs="Calibri" w:hint="cs"/>
                <w:color w:val="000000"/>
                <w:sz w:val="28"/>
                <w:szCs w:val="28"/>
                <w:rtl/>
              </w:rPr>
              <w:t>مالية)</w:t>
            </w:r>
            <w:r>
              <w:rPr>
                <w:rFonts w:ascii="Calibri" w:eastAsia="Calibri" w:hAnsi="Calibri" w:cs="Calibri"/>
                <w:color w:val="000000"/>
                <w:sz w:val="28"/>
                <w:szCs w:val="28"/>
                <w:rtl/>
              </w:rPr>
              <w:t xml:space="preserve"> تحول دون امكانية التنفيذ وبموافقة لجنة الادارة </w:t>
            </w:r>
            <w:r>
              <w:rPr>
                <w:rFonts w:ascii="Calibri" w:eastAsia="Calibri" w:hAnsi="Calibri" w:cs="Calibri" w:hint="cs"/>
                <w:color w:val="000000"/>
                <w:sz w:val="28"/>
                <w:szCs w:val="28"/>
                <w:rtl/>
              </w:rPr>
              <w:t>المشتركة،</w:t>
            </w:r>
            <w:r>
              <w:rPr>
                <w:rFonts w:ascii="Calibri" w:eastAsia="Calibri" w:hAnsi="Calibri" w:cs="Calibri"/>
                <w:color w:val="000000"/>
                <w:sz w:val="28"/>
                <w:szCs w:val="28"/>
                <w:rtl/>
              </w:rPr>
              <w:t xml:space="preserve"> للشركة الاستخراجية الحق في تكليف أحد مشغلي الحقول العاملين معها في تنفيذ مشاريع البنى التحتية بعد استحصال الموافقة الوزارية عليها في حالة وجود بديل </w:t>
            </w:r>
            <w:r>
              <w:rPr>
                <w:rFonts w:ascii="Calibri" w:eastAsia="Calibri" w:hAnsi="Calibri" w:cs="Calibri" w:hint="cs"/>
                <w:color w:val="000000"/>
                <w:sz w:val="28"/>
                <w:szCs w:val="28"/>
                <w:rtl/>
              </w:rPr>
              <w:t>لتنفيذها.</w:t>
            </w:r>
          </w:p>
          <w:p w14:paraId="6CC09DC0" w14:textId="77777777" w:rsidR="0009101F" w:rsidRDefault="00000000">
            <w:pPr>
              <w:numPr>
                <w:ilvl w:val="0"/>
                <w:numId w:val="1"/>
              </w:numPr>
              <w:spacing w:line="259" w:lineRule="auto"/>
              <w:ind w:left="302" w:hanging="283"/>
              <w:jc w:val="both"/>
              <w:rPr>
                <w:color w:val="000000"/>
                <w:sz w:val="28"/>
                <w:szCs w:val="28"/>
              </w:rPr>
            </w:pPr>
            <w:r>
              <w:rPr>
                <w:rFonts w:ascii="Calibri" w:eastAsia="Calibri" w:hAnsi="Calibri" w:cs="Calibri"/>
                <w:color w:val="000000"/>
                <w:sz w:val="28"/>
                <w:szCs w:val="28"/>
                <w:rtl/>
              </w:rPr>
              <w:t xml:space="preserve">بإمكان المشغل القيام بتشغيل </w:t>
            </w:r>
            <w:r>
              <w:rPr>
                <w:rFonts w:ascii="Calibri" w:eastAsia="Calibri" w:hAnsi="Calibri" w:cs="Calibri"/>
                <w:b/>
                <w:color w:val="000000"/>
                <w:sz w:val="28"/>
                <w:szCs w:val="28"/>
                <w:rtl/>
              </w:rPr>
              <w:t xml:space="preserve">عاملين بصورة مؤقته أن تطلب الامر </w:t>
            </w:r>
            <w:r>
              <w:rPr>
                <w:rFonts w:ascii="Calibri" w:eastAsia="Calibri" w:hAnsi="Calibri" w:cs="Calibri" w:hint="cs"/>
                <w:b/>
                <w:color w:val="000000"/>
                <w:sz w:val="28"/>
                <w:szCs w:val="28"/>
                <w:rtl/>
              </w:rPr>
              <w:t>ولفترة</w:t>
            </w:r>
            <w:r>
              <w:rPr>
                <w:rFonts w:ascii="Calibri" w:eastAsia="Calibri" w:hAnsi="Calibri" w:cs="Calibri"/>
                <w:b/>
                <w:color w:val="000000"/>
                <w:sz w:val="28"/>
                <w:szCs w:val="28"/>
                <w:rtl/>
              </w:rPr>
              <w:t xml:space="preserve"> أنجاز المشروع فقط </w:t>
            </w:r>
            <w:r>
              <w:rPr>
                <w:rFonts w:ascii="Calibri" w:eastAsia="Calibri" w:hAnsi="Calibri" w:cs="Calibri"/>
                <w:color w:val="000000"/>
                <w:sz w:val="28"/>
                <w:szCs w:val="28"/>
                <w:rtl/>
              </w:rPr>
              <w:t>لغرض الأشراف ولتنفيذ تلك المشاريع وبالموافقة المسبقة من لجنة الادارة المشتركة</w:t>
            </w:r>
            <w:r>
              <w:rPr>
                <w:rFonts w:ascii="Calibri" w:eastAsia="Calibri" w:hAnsi="Calibri" w:cs="Calibri"/>
                <w:b/>
                <w:color w:val="000000"/>
                <w:sz w:val="28"/>
                <w:szCs w:val="28"/>
                <w:rtl/>
              </w:rPr>
              <w:t xml:space="preserve"> مع عدم </w:t>
            </w:r>
            <w:r>
              <w:rPr>
                <w:rFonts w:ascii="Calibri" w:eastAsia="Calibri" w:hAnsi="Calibri" w:cs="Calibri" w:hint="cs"/>
                <w:b/>
                <w:color w:val="000000"/>
                <w:sz w:val="28"/>
                <w:szCs w:val="28"/>
                <w:rtl/>
              </w:rPr>
              <w:t>إلزام</w:t>
            </w:r>
            <w:r>
              <w:rPr>
                <w:rFonts w:ascii="Calibri" w:eastAsia="Calibri" w:hAnsi="Calibri" w:cs="Calibri"/>
                <w:b/>
                <w:color w:val="000000"/>
                <w:sz w:val="28"/>
                <w:szCs w:val="28"/>
                <w:rtl/>
              </w:rPr>
              <w:t xml:space="preserve"> الشركات الاستخراجية بالتوظيف او التشغيل</w:t>
            </w:r>
            <w:r>
              <w:rPr>
                <w:rFonts w:ascii="Calibri" w:eastAsia="Calibri" w:hAnsi="Calibri" w:cs="Calibri"/>
                <w:color w:val="000000"/>
                <w:sz w:val="28"/>
                <w:szCs w:val="28"/>
              </w:rPr>
              <w:t xml:space="preserve"> </w:t>
            </w:r>
            <w:r>
              <w:rPr>
                <w:rFonts w:ascii="Calibri" w:eastAsia="Calibri" w:hAnsi="Calibri" w:cs="Calibri"/>
                <w:b/>
                <w:color w:val="000000"/>
                <w:sz w:val="28"/>
                <w:szCs w:val="28"/>
                <w:rtl/>
              </w:rPr>
              <w:t xml:space="preserve">لتلك </w:t>
            </w:r>
            <w:r>
              <w:rPr>
                <w:rFonts w:ascii="Calibri" w:eastAsia="Calibri" w:hAnsi="Calibri" w:cs="Calibri" w:hint="cs"/>
                <w:b/>
                <w:color w:val="000000"/>
                <w:sz w:val="28"/>
                <w:szCs w:val="28"/>
                <w:rtl/>
              </w:rPr>
              <w:t>المشاريع</w:t>
            </w:r>
            <w:r>
              <w:rPr>
                <w:rFonts w:ascii="Calibri" w:eastAsia="Calibri" w:hAnsi="Calibri" w:cs="Calibri"/>
                <w:color w:val="000000"/>
                <w:sz w:val="28"/>
                <w:szCs w:val="28"/>
              </w:rPr>
              <w:t xml:space="preserve">. </w:t>
            </w:r>
          </w:p>
          <w:p w14:paraId="3470C596" w14:textId="77777777" w:rsidR="0009101F" w:rsidRDefault="0009101F">
            <w:pPr>
              <w:spacing w:after="160" w:line="259" w:lineRule="auto"/>
              <w:ind w:left="19" w:firstLine="18"/>
              <w:jc w:val="both"/>
              <w:rPr>
                <w:color w:val="000000"/>
                <w:sz w:val="28"/>
                <w:szCs w:val="28"/>
              </w:rPr>
            </w:pPr>
          </w:p>
        </w:tc>
      </w:tr>
      <w:tr w:rsidR="0009101F" w14:paraId="5F6C3094" w14:textId="77777777" w:rsidTr="00714F38">
        <w:tc>
          <w:tcPr>
            <w:tcW w:w="469" w:type="dxa"/>
            <w:shd w:val="clear" w:color="auto" w:fill="D0CECE" w:themeFill="background2" w:themeFillShade="E6"/>
            <w:vAlign w:val="center"/>
          </w:tcPr>
          <w:p w14:paraId="1EE139DD" w14:textId="77777777" w:rsidR="0009101F" w:rsidRDefault="00000000">
            <w:pPr>
              <w:jc w:val="both"/>
              <w:rPr>
                <w:color w:val="000000"/>
              </w:rPr>
            </w:pPr>
            <w:r>
              <w:rPr>
                <w:color w:val="000000"/>
              </w:rPr>
              <w:t>8</w:t>
            </w:r>
          </w:p>
        </w:tc>
        <w:tc>
          <w:tcPr>
            <w:tcW w:w="9490" w:type="dxa"/>
            <w:shd w:val="clear" w:color="auto" w:fill="auto"/>
          </w:tcPr>
          <w:p w14:paraId="417590CD" w14:textId="77777777" w:rsidR="0009101F" w:rsidRDefault="00000000">
            <w:pPr>
              <w:jc w:val="both"/>
              <w:rPr>
                <w:color w:val="000000"/>
                <w:sz w:val="28"/>
                <w:szCs w:val="28"/>
              </w:rPr>
            </w:pPr>
            <w:r>
              <w:rPr>
                <w:color w:val="000000"/>
                <w:sz w:val="28"/>
                <w:szCs w:val="28"/>
                <w:rtl/>
              </w:rPr>
              <w:t xml:space="preserve">يقوم المشغل بالتنفيذ والاشراف على المشروع بموجب </w:t>
            </w:r>
            <w:r>
              <w:rPr>
                <w:rFonts w:hint="cs"/>
                <w:color w:val="000000"/>
                <w:sz w:val="28"/>
                <w:szCs w:val="28"/>
                <w:rtl/>
              </w:rPr>
              <w:t xml:space="preserve">عقود </w:t>
            </w:r>
            <w:r>
              <w:rPr>
                <w:color w:val="000000"/>
                <w:sz w:val="28"/>
                <w:szCs w:val="28"/>
                <w:rtl/>
              </w:rPr>
              <w:t>(</w:t>
            </w:r>
            <w:r>
              <w:rPr>
                <w:color w:val="000000"/>
                <w:sz w:val="28"/>
                <w:szCs w:val="28"/>
              </w:rPr>
              <w:t>EPC &amp;PMC</w:t>
            </w:r>
            <w:r>
              <w:rPr>
                <w:color w:val="000000"/>
                <w:sz w:val="28"/>
                <w:szCs w:val="28"/>
                <w:rtl/>
              </w:rPr>
              <w:t>)</w:t>
            </w:r>
          </w:p>
          <w:p w14:paraId="5640E72E"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وتقوم الشركة الاستخراجية وبالتعاون مع الحكومة المحلية او الجهة المستفيدة بتقديم الدعم والاسناد، وفيما يخص عقود جولة التراخيص الأولى يكون الاشراف عن طريق هيئات التشغيل المشتركة</w:t>
            </w:r>
          </w:p>
          <w:p w14:paraId="12F1C055" w14:textId="77777777" w:rsidR="0009101F" w:rsidRDefault="0009101F">
            <w:pPr>
              <w:spacing w:after="160" w:line="259" w:lineRule="auto"/>
              <w:jc w:val="both"/>
              <w:rPr>
                <w:color w:val="000000"/>
                <w:sz w:val="28"/>
                <w:szCs w:val="28"/>
              </w:rPr>
            </w:pPr>
          </w:p>
        </w:tc>
      </w:tr>
      <w:tr w:rsidR="0009101F" w14:paraId="63DEEC19" w14:textId="77777777" w:rsidTr="00714F38">
        <w:tc>
          <w:tcPr>
            <w:tcW w:w="469" w:type="dxa"/>
            <w:shd w:val="clear" w:color="auto" w:fill="D0CECE" w:themeFill="background2" w:themeFillShade="E6"/>
            <w:vAlign w:val="center"/>
          </w:tcPr>
          <w:p w14:paraId="54908457" w14:textId="77777777" w:rsidR="0009101F" w:rsidRDefault="00000000">
            <w:pPr>
              <w:jc w:val="both"/>
              <w:rPr>
                <w:color w:val="000000"/>
              </w:rPr>
            </w:pPr>
            <w:r>
              <w:rPr>
                <w:color w:val="000000"/>
              </w:rPr>
              <w:t>9</w:t>
            </w:r>
          </w:p>
        </w:tc>
        <w:tc>
          <w:tcPr>
            <w:tcW w:w="9490" w:type="dxa"/>
            <w:shd w:val="clear" w:color="auto" w:fill="auto"/>
          </w:tcPr>
          <w:p w14:paraId="4731F0FF" w14:textId="77777777" w:rsidR="0009101F" w:rsidRDefault="00000000">
            <w:pPr>
              <w:spacing w:line="259" w:lineRule="auto"/>
              <w:jc w:val="both"/>
              <w:rPr>
                <w:color w:val="000000"/>
                <w:sz w:val="28"/>
                <w:szCs w:val="28"/>
              </w:rPr>
            </w:pPr>
            <w:r>
              <w:rPr>
                <w:rFonts w:ascii="Calibri" w:eastAsia="Calibri" w:hAnsi="Calibri" w:cs="Calibri"/>
                <w:color w:val="000000"/>
                <w:sz w:val="28"/>
                <w:szCs w:val="28"/>
                <w:rtl/>
              </w:rPr>
              <w:t xml:space="preserve">تقوم الجهة المستفيدة (الحكومة المحلية والجهات ذات </w:t>
            </w:r>
            <w:r>
              <w:rPr>
                <w:rFonts w:ascii="Calibri" w:eastAsia="Calibri" w:hAnsi="Calibri" w:cs="Calibri" w:hint="cs"/>
                <w:color w:val="000000"/>
                <w:sz w:val="28"/>
                <w:szCs w:val="28"/>
                <w:rtl/>
              </w:rPr>
              <w:t>العلاقة)</w:t>
            </w:r>
            <w:r>
              <w:rPr>
                <w:rFonts w:ascii="Calibri" w:eastAsia="Calibri" w:hAnsi="Calibri" w:cs="Calibri"/>
                <w:color w:val="000000"/>
                <w:sz w:val="28"/>
                <w:szCs w:val="28"/>
                <w:rtl/>
              </w:rPr>
              <w:t xml:space="preserve"> باستلام المشاريع المنجزة من </w:t>
            </w:r>
            <w:r>
              <w:rPr>
                <w:rFonts w:ascii="Calibri" w:eastAsia="Calibri" w:hAnsi="Calibri" w:cs="Calibri"/>
                <w:b/>
                <w:color w:val="000000"/>
                <w:sz w:val="28"/>
                <w:szCs w:val="28"/>
                <w:u w:val="single"/>
                <w:rtl/>
              </w:rPr>
              <w:t>المشغل لغرض الاشغال</w:t>
            </w:r>
            <w:r>
              <w:rPr>
                <w:rFonts w:ascii="Calibri" w:eastAsia="Calibri" w:hAnsi="Calibri" w:cs="Calibri"/>
                <w:color w:val="000000"/>
                <w:sz w:val="28"/>
                <w:szCs w:val="28"/>
                <w:rtl/>
              </w:rPr>
              <w:t xml:space="preserve"> ومن ثم يتم اعلام دائرة العقود والتراخيص البترولية بالتسليم النهائي </w:t>
            </w:r>
            <w:r>
              <w:rPr>
                <w:rFonts w:ascii="Calibri" w:eastAsia="Calibri" w:hAnsi="Calibri" w:cs="Calibri" w:hint="cs"/>
                <w:color w:val="000000"/>
                <w:sz w:val="28"/>
                <w:szCs w:val="28"/>
                <w:rtl/>
              </w:rPr>
              <w:t>للمشروع.</w:t>
            </w:r>
          </w:p>
          <w:p w14:paraId="61F735FC" w14:textId="77777777" w:rsidR="0009101F" w:rsidRDefault="00000000">
            <w:pPr>
              <w:spacing w:after="160" w:line="259" w:lineRule="auto"/>
              <w:jc w:val="both"/>
              <w:rPr>
                <w:color w:val="000000"/>
                <w:sz w:val="28"/>
                <w:szCs w:val="28"/>
              </w:rPr>
            </w:pPr>
            <w:r>
              <w:rPr>
                <w:rFonts w:ascii="Calibri" w:eastAsia="Calibri" w:hAnsi="Calibri" w:cs="Calibri"/>
                <w:color w:val="000000"/>
                <w:sz w:val="28"/>
                <w:szCs w:val="28"/>
                <w:rtl/>
              </w:rPr>
              <w:t xml:space="preserve">تم تحديد الجهة التي تقوم باستحصال الموافقات اللازمة </w:t>
            </w:r>
          </w:p>
        </w:tc>
      </w:tr>
      <w:tr w:rsidR="0009101F" w14:paraId="579BA71F" w14:textId="77777777" w:rsidTr="00714F38">
        <w:tc>
          <w:tcPr>
            <w:tcW w:w="469" w:type="dxa"/>
            <w:shd w:val="clear" w:color="auto" w:fill="D0CECE" w:themeFill="background2" w:themeFillShade="E6"/>
            <w:vAlign w:val="center"/>
          </w:tcPr>
          <w:p w14:paraId="7A1455F8" w14:textId="77777777" w:rsidR="0009101F" w:rsidRDefault="00000000">
            <w:pPr>
              <w:jc w:val="both"/>
              <w:rPr>
                <w:color w:val="000000"/>
              </w:rPr>
            </w:pPr>
            <w:r>
              <w:rPr>
                <w:color w:val="000000"/>
              </w:rPr>
              <w:lastRenderedPageBreak/>
              <w:t>10</w:t>
            </w:r>
          </w:p>
        </w:tc>
        <w:tc>
          <w:tcPr>
            <w:tcW w:w="9490" w:type="dxa"/>
            <w:shd w:val="clear" w:color="auto" w:fill="auto"/>
          </w:tcPr>
          <w:p w14:paraId="7932F198" w14:textId="77777777" w:rsidR="0009101F" w:rsidRDefault="00000000">
            <w:pPr>
              <w:jc w:val="both"/>
              <w:rPr>
                <w:color w:val="000000"/>
                <w:sz w:val="28"/>
                <w:szCs w:val="28"/>
              </w:rPr>
            </w:pPr>
            <w:r>
              <w:rPr>
                <w:color w:val="000000"/>
                <w:sz w:val="28"/>
                <w:szCs w:val="28"/>
                <w:rtl/>
              </w:rPr>
              <w:t xml:space="preserve">تلتزم الشركات الاستخراجية بنهاية السنة في (31/12/ من كل </w:t>
            </w:r>
            <w:r>
              <w:rPr>
                <w:rFonts w:hint="cs"/>
                <w:color w:val="000000"/>
                <w:sz w:val="28"/>
                <w:szCs w:val="28"/>
                <w:rtl/>
              </w:rPr>
              <w:t>سنة)</w:t>
            </w:r>
            <w:r>
              <w:rPr>
                <w:color w:val="000000"/>
                <w:sz w:val="28"/>
                <w:szCs w:val="28"/>
                <w:rtl/>
              </w:rPr>
              <w:t xml:space="preserve"> برفع تقرير للسيد </w:t>
            </w:r>
            <w:r>
              <w:rPr>
                <w:rFonts w:hint="cs"/>
                <w:color w:val="000000"/>
                <w:sz w:val="28"/>
                <w:szCs w:val="28"/>
                <w:rtl/>
              </w:rPr>
              <w:t>الوزير المحتر</w:t>
            </w:r>
            <w:r>
              <w:rPr>
                <w:rFonts w:hint="eastAsia"/>
                <w:color w:val="000000"/>
                <w:sz w:val="28"/>
                <w:szCs w:val="28"/>
                <w:rtl/>
              </w:rPr>
              <w:t>م</w:t>
            </w:r>
            <w:r>
              <w:rPr>
                <w:color w:val="000000"/>
                <w:sz w:val="28"/>
                <w:szCs w:val="28"/>
                <w:rtl/>
              </w:rPr>
              <w:t xml:space="preserve"> تبين فيه نسب الإنجاز للمشاريع المخططة والتي تم تنفيذها وتعتبر معيار لتقييم أداء مشغلي الحقول ولجان الإدارات المشتركة والشركة الاستخراجية.</w:t>
            </w:r>
          </w:p>
          <w:p w14:paraId="326B40A4" w14:textId="77777777" w:rsidR="0009101F" w:rsidRDefault="0009101F">
            <w:pPr>
              <w:jc w:val="both"/>
              <w:rPr>
                <w:color w:val="000000"/>
                <w:sz w:val="28"/>
                <w:szCs w:val="28"/>
              </w:rPr>
            </w:pPr>
          </w:p>
        </w:tc>
      </w:tr>
      <w:tr w:rsidR="0009101F" w14:paraId="09D9E5A9" w14:textId="77777777" w:rsidTr="00714F38">
        <w:tc>
          <w:tcPr>
            <w:tcW w:w="469" w:type="dxa"/>
            <w:shd w:val="clear" w:color="auto" w:fill="D0CECE" w:themeFill="background2" w:themeFillShade="E6"/>
            <w:vAlign w:val="center"/>
          </w:tcPr>
          <w:p w14:paraId="09673E69" w14:textId="77777777" w:rsidR="0009101F" w:rsidRDefault="00000000">
            <w:pPr>
              <w:jc w:val="both"/>
              <w:rPr>
                <w:color w:val="000000"/>
              </w:rPr>
            </w:pPr>
            <w:r>
              <w:rPr>
                <w:color w:val="000000"/>
              </w:rPr>
              <w:t>11</w:t>
            </w:r>
          </w:p>
        </w:tc>
        <w:tc>
          <w:tcPr>
            <w:tcW w:w="9490" w:type="dxa"/>
            <w:shd w:val="clear" w:color="auto" w:fill="auto"/>
          </w:tcPr>
          <w:p w14:paraId="58D1F612" w14:textId="77777777" w:rsidR="0009101F" w:rsidRDefault="00000000">
            <w:pPr>
              <w:jc w:val="both"/>
              <w:rPr>
                <w:color w:val="000000"/>
                <w:sz w:val="28"/>
                <w:szCs w:val="28"/>
              </w:rPr>
            </w:pPr>
            <w:r>
              <w:rPr>
                <w:color w:val="000000"/>
                <w:sz w:val="28"/>
                <w:szCs w:val="28"/>
                <w:rtl/>
              </w:rPr>
              <w:t xml:space="preserve">اعتماد الالية المصادق عليها لعام 2023 للعقود </w:t>
            </w:r>
            <w:r>
              <w:rPr>
                <w:rFonts w:hint="cs"/>
                <w:color w:val="000000"/>
                <w:sz w:val="28"/>
                <w:szCs w:val="28"/>
                <w:rtl/>
              </w:rPr>
              <w:t>اللاحقة.</w:t>
            </w:r>
          </w:p>
        </w:tc>
      </w:tr>
    </w:tbl>
    <w:p w14:paraId="074C4510" w14:textId="77777777" w:rsidR="0009101F" w:rsidRDefault="0009101F">
      <w:pPr>
        <w:jc w:val="right"/>
        <w:rPr>
          <w:rtl/>
        </w:rPr>
      </w:pPr>
    </w:p>
    <w:p w14:paraId="140220ED" w14:textId="77777777" w:rsidR="0009101F" w:rsidRDefault="0009101F">
      <w:pPr>
        <w:jc w:val="right"/>
        <w:rPr>
          <w:rtl/>
        </w:rPr>
      </w:pPr>
    </w:p>
    <w:p w14:paraId="30B5DAB9" w14:textId="77777777" w:rsidR="0009101F" w:rsidRDefault="00000000">
      <w:pPr>
        <w:numPr>
          <w:ilvl w:val="0"/>
          <w:numId w:val="2"/>
        </w:numPr>
        <w:spacing w:line="259" w:lineRule="auto"/>
        <w:ind w:left="429" w:hanging="425"/>
        <w:jc w:val="both"/>
        <w:rPr>
          <w:color w:val="000000"/>
          <w:sz w:val="36"/>
          <w:szCs w:val="36"/>
          <w:u w:val="single"/>
        </w:rPr>
      </w:pPr>
      <w:r>
        <w:rPr>
          <w:rFonts w:ascii="Calibri" w:eastAsia="Calibri" w:hAnsi="Calibri" w:cs="Calibri" w:hint="cs"/>
          <w:color w:val="000000"/>
          <w:sz w:val="36"/>
          <w:szCs w:val="36"/>
          <w:highlight w:val="yellow"/>
          <w:u w:val="single"/>
          <w:rtl/>
        </w:rPr>
        <w:t>ملاحظة:</w:t>
      </w:r>
      <w:r>
        <w:rPr>
          <w:rFonts w:ascii="Calibri" w:eastAsia="Calibri" w:hAnsi="Calibri" w:cs="Calibri"/>
          <w:color w:val="000000"/>
          <w:sz w:val="36"/>
          <w:szCs w:val="36"/>
          <w:highlight w:val="yellow"/>
          <w:u w:val="single"/>
          <w:rtl/>
        </w:rPr>
        <w:t xml:space="preserve"> اهم اهداف الالية </w:t>
      </w:r>
      <w:r>
        <w:rPr>
          <w:rFonts w:ascii="Calibri" w:eastAsia="Calibri" w:hAnsi="Calibri" w:cs="Calibri" w:hint="cs"/>
          <w:color w:val="000000"/>
          <w:sz w:val="36"/>
          <w:szCs w:val="36"/>
          <w:highlight w:val="yellow"/>
          <w:u w:val="single"/>
          <w:rtl/>
        </w:rPr>
        <w:t>المحدثة</w:t>
      </w:r>
      <w:r>
        <w:rPr>
          <w:rFonts w:ascii="Calibri" w:eastAsia="Calibri" w:hAnsi="Calibri" w:cs="Calibri" w:hint="cs"/>
          <w:color w:val="000000"/>
          <w:sz w:val="36"/>
          <w:szCs w:val="36"/>
          <w:u w:val="single"/>
          <w:rtl/>
        </w:rPr>
        <w:t>.</w:t>
      </w:r>
    </w:p>
    <w:p w14:paraId="1C7FE43D" w14:textId="77777777" w:rsidR="0009101F" w:rsidRDefault="0009101F">
      <w:pPr>
        <w:spacing w:line="259" w:lineRule="auto"/>
        <w:ind w:left="429"/>
        <w:jc w:val="both"/>
        <w:rPr>
          <w:color w:val="000000"/>
          <w:sz w:val="36"/>
          <w:szCs w:val="36"/>
          <w:u w:val="single"/>
        </w:rPr>
      </w:pPr>
    </w:p>
    <w:p w14:paraId="4B94AEA4" w14:textId="77777777" w:rsidR="0009101F" w:rsidRDefault="00000000">
      <w:pPr>
        <w:numPr>
          <w:ilvl w:val="0"/>
          <w:numId w:val="3"/>
        </w:numPr>
        <w:spacing w:line="259" w:lineRule="auto"/>
        <w:ind w:hanging="360"/>
        <w:jc w:val="both"/>
        <w:rPr>
          <w:color w:val="000000"/>
          <w:sz w:val="28"/>
          <w:szCs w:val="28"/>
        </w:rPr>
      </w:pPr>
      <w:r>
        <w:rPr>
          <w:rFonts w:ascii="Calibri" w:eastAsia="Calibri" w:hAnsi="Calibri" w:cs="Calibri"/>
          <w:color w:val="000000"/>
          <w:sz w:val="28"/>
          <w:szCs w:val="28"/>
          <w:rtl/>
        </w:rPr>
        <w:t xml:space="preserve">ان الغرض من الالية المحدثة يكمن في التسريع من تنفيذ مشاريع المنافع الاجتماعية بغية الاستغلال الامثل للتخصيصات المالية ولا سيما وان تلك التخصيصات قد تم </w:t>
      </w:r>
      <w:r>
        <w:rPr>
          <w:rFonts w:ascii="Calibri" w:eastAsia="Calibri" w:hAnsi="Calibri" w:cs="Calibri" w:hint="cs"/>
          <w:color w:val="000000"/>
          <w:sz w:val="28"/>
          <w:szCs w:val="28"/>
          <w:rtl/>
        </w:rPr>
        <w:t>زيادة</w:t>
      </w:r>
      <w:r>
        <w:rPr>
          <w:rFonts w:ascii="Calibri" w:eastAsia="Calibri" w:hAnsi="Calibri" w:cs="Calibri"/>
          <w:color w:val="000000"/>
          <w:sz w:val="28"/>
          <w:szCs w:val="28"/>
          <w:rtl/>
        </w:rPr>
        <w:t xml:space="preserve"> بنسبة 100% عنما معمول فيه في الالية السابقة.</w:t>
      </w:r>
    </w:p>
    <w:p w14:paraId="21FCB5B4" w14:textId="77777777" w:rsidR="0009101F" w:rsidRDefault="00000000">
      <w:pPr>
        <w:numPr>
          <w:ilvl w:val="0"/>
          <w:numId w:val="3"/>
        </w:numPr>
        <w:spacing w:line="259" w:lineRule="auto"/>
        <w:ind w:hanging="360"/>
        <w:jc w:val="both"/>
        <w:rPr>
          <w:color w:val="000000"/>
          <w:sz w:val="28"/>
          <w:szCs w:val="28"/>
        </w:rPr>
      </w:pPr>
      <w:r>
        <w:rPr>
          <w:rFonts w:ascii="Calibri" w:eastAsia="Calibri" w:hAnsi="Calibri" w:cs="Calibri"/>
          <w:color w:val="000000"/>
          <w:sz w:val="28"/>
          <w:szCs w:val="28"/>
          <w:rtl/>
        </w:rPr>
        <w:t xml:space="preserve">ستوفر الالية المحدثة فرص عمل اضافية للخريجين العراقيين عنما كان معمول فيه </w:t>
      </w:r>
      <w:r>
        <w:rPr>
          <w:rFonts w:ascii="Calibri" w:eastAsia="Calibri" w:hAnsi="Calibri" w:cs="Calibri" w:hint="cs"/>
          <w:color w:val="000000"/>
          <w:sz w:val="28"/>
          <w:szCs w:val="28"/>
          <w:rtl/>
        </w:rPr>
        <w:t>سابقاً.</w:t>
      </w:r>
    </w:p>
    <w:p w14:paraId="76D371FC" w14:textId="77777777" w:rsidR="0009101F" w:rsidRDefault="00000000">
      <w:pPr>
        <w:numPr>
          <w:ilvl w:val="0"/>
          <w:numId w:val="3"/>
        </w:numPr>
        <w:spacing w:line="259" w:lineRule="auto"/>
        <w:ind w:hanging="360"/>
        <w:jc w:val="both"/>
        <w:rPr>
          <w:color w:val="000000"/>
          <w:sz w:val="28"/>
          <w:szCs w:val="28"/>
        </w:rPr>
      </w:pPr>
      <w:r>
        <w:rPr>
          <w:rFonts w:ascii="Calibri" w:eastAsia="Calibri" w:hAnsi="Calibri" w:cs="Calibri"/>
          <w:color w:val="000000"/>
          <w:sz w:val="28"/>
          <w:szCs w:val="28"/>
          <w:rtl/>
        </w:rPr>
        <w:t>توفير المرونة للمجلس الوزاري للطاقة في احالة مشاريع ضرورية لتحسين واقع معين وباقتراح من الشركة الاستخراجية وبغض النظر عن الخطة الموضوعة من قبل الحكومات المحلية</w:t>
      </w:r>
    </w:p>
    <w:p w14:paraId="28C8C836" w14:textId="77777777" w:rsidR="0009101F" w:rsidRDefault="0009101F">
      <w:pPr>
        <w:jc w:val="right"/>
      </w:pPr>
    </w:p>
    <w:sectPr w:rsidR="0009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D3A71"/>
    <w:multiLevelType w:val="multilevel"/>
    <w:tmpl w:val="1FCD3A71"/>
    <w:lvl w:ilvl="0">
      <w:numFmt w:val="bullet"/>
      <w:lvlText w:val="-"/>
      <w:lvlJc w:val="left"/>
      <w:pPr>
        <w:ind w:left="789" w:hanging="358"/>
      </w:pPr>
      <w:rPr>
        <w:rFonts w:ascii="Times New Roman" w:eastAsia="Times New Roman" w:hAnsi="Times New Roman" w:cs="Times New Roman"/>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 w15:restartNumberingAfterBreak="0">
    <w:nsid w:val="2E0D67F8"/>
    <w:multiLevelType w:val="multilevel"/>
    <w:tmpl w:val="2E0D67F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692EE4"/>
    <w:multiLevelType w:val="multilevel"/>
    <w:tmpl w:val="3D692EE4"/>
    <w:lvl w:ilvl="0">
      <w:start w:val="1"/>
      <w:numFmt w:val="decimal"/>
      <w:lvlText w:val="%1-"/>
      <w:lvlJc w:val="left"/>
      <w:pPr>
        <w:ind w:left="927" w:hanging="360"/>
      </w:pPr>
    </w:lvl>
    <w:lvl w:ilvl="1">
      <w:start w:val="1"/>
      <w:numFmt w:val="decimal"/>
      <w:lvlText w:val="(%2)"/>
      <w:lvlJc w:val="left"/>
      <w:pPr>
        <w:ind w:left="1914" w:hanging="407"/>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975066816">
    <w:abstractNumId w:val="2"/>
  </w:num>
  <w:num w:numId="2" w16cid:durableId="739518256">
    <w:abstractNumId w:val="1"/>
  </w:num>
  <w:num w:numId="3" w16cid:durableId="58244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A8"/>
    <w:rsid w:val="0009101F"/>
    <w:rsid w:val="001230C2"/>
    <w:rsid w:val="00396B59"/>
    <w:rsid w:val="003F0840"/>
    <w:rsid w:val="00426A89"/>
    <w:rsid w:val="0054465B"/>
    <w:rsid w:val="006A278E"/>
    <w:rsid w:val="00714F38"/>
    <w:rsid w:val="008520AD"/>
    <w:rsid w:val="00980999"/>
    <w:rsid w:val="00AB0280"/>
    <w:rsid w:val="00BF37A3"/>
    <w:rsid w:val="00C516A8"/>
    <w:rsid w:val="00C87F1E"/>
    <w:rsid w:val="00DB0FD5"/>
    <w:rsid w:val="00F07CD9"/>
    <w:rsid w:val="00F512FE"/>
    <w:rsid w:val="00FE4E3B"/>
    <w:rsid w:val="16F331D6"/>
    <w:rsid w:val="5BFC72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84A13-94EA-4C8B-9F3C-2A3C6282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753</Words>
  <Characters>4294</Characters>
  <Application>Microsoft Office Word</Application>
  <DocSecurity>0</DocSecurity>
  <Lines>35</Lines>
  <Paragraphs>10</Paragraphs>
  <ScaleCrop>false</ScaleCrop>
  <Company>HP</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Muhammed</dc:creator>
  <cp:lastModifiedBy>Abbas Muhammed</cp:lastModifiedBy>
  <cp:revision>6</cp:revision>
  <dcterms:created xsi:type="dcterms:W3CDTF">2024-10-20T08:11:00Z</dcterms:created>
  <dcterms:modified xsi:type="dcterms:W3CDTF">2024-10-23T07:19:00Z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C6C45B8C0F1F4DE5A1EDAEC1A91144A1_12</vt:lpwstr>
  </property>
</Properties>
</file>